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5960AEAD" w:rsidR="006750D6" w:rsidRPr="004B7E17" w:rsidRDefault="006750D6"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bookmarkStart w:id="1" w:name="_GoBack"/>
      <w:bookmarkEnd w:id="1"/>
      <w:r w:rsidRPr="00C45A63">
        <w:rPr>
          <w:rFonts w:ascii="Arial" w:hAnsi="Arial" w:cs="Arial"/>
          <w:b/>
          <w:noProof/>
          <w:sz w:val="24"/>
          <w:szCs w:val="24"/>
        </w:rPr>
        <w:t>3GPPRAN4#</w:t>
      </w:r>
      <w:r>
        <w:rPr>
          <w:rFonts w:ascii="Arial" w:hAnsi="Arial" w:cs="Arial"/>
          <w:b/>
          <w:noProof/>
          <w:sz w:val="24"/>
          <w:szCs w:val="24"/>
        </w:rPr>
        <w:t>9</w:t>
      </w:r>
      <w:r w:rsidR="00905DE8">
        <w:rPr>
          <w:rFonts w:ascii="Arial" w:hAnsi="Arial" w:cs="Arial"/>
          <w:b/>
          <w:noProof/>
          <w:sz w:val="24"/>
          <w:szCs w:val="24"/>
        </w:rPr>
        <w:t>4-e</w:t>
      </w:r>
      <w:r w:rsidR="004E5363">
        <w:rPr>
          <w:rFonts w:ascii="Arial" w:hAnsi="Arial" w:cs="Arial"/>
          <w:b/>
          <w:noProof/>
          <w:sz w:val="24"/>
          <w:szCs w:val="24"/>
        </w:rPr>
        <w:t>-Bis</w:t>
      </w:r>
      <w:r w:rsidRPr="004B7E17">
        <w:rPr>
          <w:rFonts w:ascii="Arial" w:hAnsi="Arial" w:cs="Arial"/>
          <w:b/>
          <w:noProof/>
          <w:sz w:val="24"/>
          <w:szCs w:val="24"/>
        </w:rPr>
        <w:tab/>
      </w:r>
      <w:r w:rsidR="00635433" w:rsidRPr="00635433">
        <w:rPr>
          <w:rFonts w:ascii="Arial" w:hAnsi="Arial" w:cs="Arial"/>
          <w:b/>
          <w:bCs/>
          <w:color w:val="808080"/>
          <w:sz w:val="26"/>
          <w:szCs w:val="26"/>
        </w:rPr>
        <w:t>R4-200</w:t>
      </w:r>
      <w:r w:rsidR="001F2E62">
        <w:rPr>
          <w:rFonts w:ascii="Arial" w:hAnsi="Arial" w:cs="Arial"/>
          <w:b/>
          <w:bCs/>
          <w:color w:val="808080"/>
          <w:sz w:val="26"/>
          <w:szCs w:val="26"/>
        </w:rPr>
        <w:t>4789</w:t>
      </w:r>
    </w:p>
    <w:p w14:paraId="14FCB88D" w14:textId="67D36CF6" w:rsidR="006750D6" w:rsidRDefault="001F2E67" w:rsidP="006750D6">
      <w:pPr>
        <w:pStyle w:val="Footer"/>
        <w:jc w:val="both"/>
        <w:rPr>
          <w:rFonts w:eastAsia="SimSun"/>
          <w:i w:val="0"/>
          <w:noProof w:val="0"/>
          <w:sz w:val="24"/>
          <w:szCs w:val="24"/>
        </w:rPr>
      </w:pPr>
      <w:r w:rsidRPr="001F2E67">
        <w:rPr>
          <w:rFonts w:eastAsia="SimSun"/>
          <w:i w:val="0"/>
          <w:noProof w:val="0"/>
          <w:sz w:val="24"/>
          <w:szCs w:val="24"/>
        </w:rPr>
        <w:t xml:space="preserve">Online Meeting, </w:t>
      </w:r>
      <w:r w:rsidR="004E5363">
        <w:rPr>
          <w:rFonts w:eastAsia="SimSun"/>
          <w:i w:val="0"/>
          <w:noProof w:val="0"/>
          <w:sz w:val="24"/>
          <w:szCs w:val="24"/>
        </w:rPr>
        <w:t>April</w:t>
      </w:r>
      <w:r w:rsidRPr="001F2E67">
        <w:rPr>
          <w:rFonts w:eastAsia="SimSun"/>
          <w:i w:val="0"/>
          <w:noProof w:val="0"/>
          <w:sz w:val="24"/>
          <w:szCs w:val="24"/>
        </w:rPr>
        <w:t xml:space="preserve"> 2</w:t>
      </w:r>
      <w:r w:rsidR="004E5363">
        <w:rPr>
          <w:rFonts w:eastAsia="SimSun"/>
          <w:i w:val="0"/>
          <w:noProof w:val="0"/>
          <w:sz w:val="24"/>
          <w:szCs w:val="24"/>
        </w:rPr>
        <w:t>0</w:t>
      </w:r>
      <w:r w:rsidRPr="004E5363">
        <w:rPr>
          <w:rFonts w:eastAsia="SimSun"/>
          <w:i w:val="0"/>
          <w:noProof w:val="0"/>
          <w:sz w:val="24"/>
          <w:szCs w:val="24"/>
          <w:vertAlign w:val="superscript"/>
        </w:rPr>
        <w:t>th</w:t>
      </w:r>
      <w:r w:rsidRPr="001F2E67">
        <w:rPr>
          <w:rFonts w:eastAsia="SimSun"/>
          <w:i w:val="0"/>
          <w:noProof w:val="0"/>
          <w:sz w:val="24"/>
          <w:szCs w:val="24"/>
        </w:rPr>
        <w:t xml:space="preserve"> – </w:t>
      </w:r>
      <w:r w:rsidR="004E5363">
        <w:rPr>
          <w:rFonts w:eastAsia="SimSun"/>
          <w:i w:val="0"/>
          <w:noProof w:val="0"/>
          <w:sz w:val="24"/>
          <w:szCs w:val="24"/>
        </w:rPr>
        <w:t>30</w:t>
      </w:r>
      <w:r w:rsidRPr="004E5363">
        <w:rPr>
          <w:rFonts w:eastAsia="SimSun"/>
          <w:i w:val="0"/>
          <w:noProof w:val="0"/>
          <w:sz w:val="24"/>
          <w:szCs w:val="24"/>
          <w:vertAlign w:val="superscript"/>
        </w:rPr>
        <w:t>th</w:t>
      </w:r>
      <w:r w:rsidRPr="001F2E67">
        <w:rPr>
          <w:rFonts w:eastAsia="SimSun"/>
          <w:i w:val="0"/>
          <w:noProof w:val="0"/>
          <w:sz w:val="24"/>
          <w:szCs w:val="24"/>
        </w:rPr>
        <w:t xml:space="preserve">  , 2020</w:t>
      </w:r>
    </w:p>
    <w:p w14:paraId="3A9713BD" w14:textId="77777777" w:rsidR="001F2E67" w:rsidRDefault="001F2E67" w:rsidP="006750D6">
      <w:pPr>
        <w:pStyle w:val="Footer"/>
        <w:jc w:val="both"/>
        <w:rPr>
          <w:noProof w:val="0"/>
        </w:rPr>
      </w:pPr>
    </w:p>
    <w:p w14:paraId="3E40B697" w14:textId="61D62D15"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905DE8" w:rsidRPr="00905DE8">
        <w:rPr>
          <w:rFonts w:ascii="Arial" w:hAnsi="Arial"/>
          <w:b/>
          <w:bCs/>
          <w:sz w:val="24"/>
        </w:rPr>
        <w:t xml:space="preserve">Further </w:t>
      </w:r>
      <w:r w:rsidR="00905DE8">
        <w:rPr>
          <w:rFonts w:ascii="Arial" w:hAnsi="Arial"/>
          <w:b/>
          <w:sz w:val="24"/>
        </w:rPr>
        <w:t>d</w:t>
      </w:r>
      <w:r w:rsidR="004C2D0D">
        <w:rPr>
          <w:rFonts w:ascii="Arial" w:hAnsi="Arial"/>
          <w:b/>
          <w:sz w:val="24"/>
        </w:rPr>
        <w:t xml:space="preserve">iscussion on </w:t>
      </w:r>
      <w:r w:rsidR="0055047B">
        <w:rPr>
          <w:rFonts w:ascii="Arial" w:hAnsi="Arial"/>
          <w:b/>
          <w:sz w:val="24"/>
        </w:rPr>
        <w:t>mandato</w:t>
      </w:r>
      <w:r w:rsidR="008D19FA">
        <w:rPr>
          <w:rFonts w:ascii="Arial" w:hAnsi="Arial"/>
          <w:b/>
          <w:sz w:val="24"/>
        </w:rPr>
        <w:t xml:space="preserve">ry measurement gaps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AF7E5FC" w14:textId="19E5B344"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1F2E62">
        <w:rPr>
          <w:rFonts w:ascii="Arial" w:hAnsi="Arial"/>
          <w:b/>
          <w:sz w:val="24"/>
        </w:rPr>
        <w:t>6</w:t>
      </w:r>
      <w:r w:rsidR="00EE05FF" w:rsidRPr="00EE05FF">
        <w:rPr>
          <w:rFonts w:ascii="Arial" w:hAnsi="Arial"/>
          <w:b/>
          <w:sz w:val="24"/>
        </w:rPr>
        <w:t>.15.1.6</w:t>
      </w:r>
      <w:r w:rsidR="00EE05FF" w:rsidRPr="00EE05FF">
        <w:rPr>
          <w:rFonts w:ascii="Arial" w:hAnsi="Arial"/>
          <w:b/>
          <w:sz w:val="24"/>
        </w:rPr>
        <w:tab/>
        <w:t xml:space="preserve">Mandatory MG patterns </w:t>
      </w:r>
      <w:r w:rsidR="00EE05FF" w:rsidRPr="00EE05FF">
        <w:rPr>
          <w:rFonts w:ascii="Arial" w:hAnsi="Arial"/>
          <w:b/>
          <w:sz w:val="24"/>
        </w:rPr>
        <w:tab/>
        <w:t>[NR_RRM_Enh_Core]</w:t>
      </w:r>
    </w:p>
    <w:p w14:paraId="033ECDDE" w14:textId="77777777"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5451BB" w:rsidP="006750D6">
      <w:r>
        <w:pict w14:anchorId="71BC3458">
          <v:rect id="_x0000_i1025" style="width:0;height:1.5pt" o:hralign="center" o:hrstd="t" o:hr="t" fillcolor="#a0a0a0" stroked="f"/>
        </w:pict>
      </w:r>
    </w:p>
    <w:p w14:paraId="60B4BB2E" w14:textId="77777777" w:rsidR="006750D6" w:rsidRDefault="006750D6" w:rsidP="006750D6">
      <w:pPr>
        <w:pStyle w:val="Heading1"/>
      </w:pPr>
      <w:r w:rsidRPr="00E15948">
        <w:t>Introduction</w:t>
      </w:r>
    </w:p>
    <w:p w14:paraId="28F963BE" w14:textId="1B38842C" w:rsidR="00E80553" w:rsidRDefault="008B398A" w:rsidP="006750D6">
      <w:r>
        <w:t>In RAN4-</w:t>
      </w:r>
      <w:r w:rsidR="002E6DB7">
        <w:t>92Bis</w:t>
      </w:r>
      <w:r w:rsidR="004E5363">
        <w:t xml:space="preserve">, </w:t>
      </w:r>
      <w:r w:rsidR="00905DE8">
        <w:t>RAN4-93</w:t>
      </w:r>
      <w:r w:rsidR="004E5363">
        <w:t xml:space="preserve"> and RAN4-94-e</w:t>
      </w:r>
      <w:r w:rsidR="002E6DB7">
        <w:t>, there were initial discussions on which measurement gaps should be made mandatory for NR</w:t>
      </w:r>
      <w:r w:rsidR="00754A14">
        <w:t xml:space="preserve"> measurements</w:t>
      </w:r>
      <w:r w:rsidR="002E6DB7">
        <w:t>.</w:t>
      </w:r>
      <w:r w:rsidR="00754A14">
        <w:t xml:space="preserve"> </w:t>
      </w:r>
      <w:r w:rsidR="004E5363">
        <w:t>In this contribution, we provide our view on what gaps should be mandatory in each of the scenarios (LTE SA, EN-DC, NE-DC, NR SA, NR-DC).</w:t>
      </w:r>
      <w:r w:rsidR="009A7DBA">
        <w:t xml:space="preserve"> </w:t>
      </w:r>
      <w:r w:rsidR="002E6DB7">
        <w:t xml:space="preserve"> </w:t>
      </w:r>
    </w:p>
    <w:p w14:paraId="5C57CA71" w14:textId="05588AE4" w:rsidR="003B5F82" w:rsidRDefault="006750D6" w:rsidP="0094757F">
      <w:pPr>
        <w:pStyle w:val="Heading1"/>
      </w:pPr>
      <w:r>
        <w:t xml:space="preserve">Discussion  </w:t>
      </w:r>
    </w:p>
    <w:p w14:paraId="51FCFEA3" w14:textId="4AF071DF" w:rsidR="00D85AAD" w:rsidRDefault="0094757F" w:rsidP="00D05215">
      <w:r>
        <w:t xml:space="preserve">In previous discussions, </w:t>
      </w:r>
      <w:r w:rsidR="00A04B4A">
        <w:t xml:space="preserve">there was consensus that the new mandatory gaps should apply for NR measurements only. </w:t>
      </w:r>
      <w:r w:rsidR="004B6EC0">
        <w:t xml:space="preserve">However, </w:t>
      </w:r>
      <w:r w:rsidR="00905DE8">
        <w:t xml:space="preserve">is no consensus on whether these new mandatory gaps would be applicable </w:t>
      </w:r>
      <w:r w:rsidR="00BB3BA5">
        <w:t>in LTE SA</w:t>
      </w:r>
      <w:r w:rsidR="000B7380">
        <w:t>, EN-DC, NR SA or NR-D</w:t>
      </w:r>
      <w:r w:rsidR="00B00809">
        <w:t>C.</w:t>
      </w:r>
    </w:p>
    <w:p w14:paraId="38D9103F" w14:textId="18A43414" w:rsidR="00E806F2" w:rsidRDefault="00E15B21" w:rsidP="00D05215">
      <w:r w:rsidRPr="002E4AA1">
        <w:rPr>
          <w:b/>
        </w:rPr>
        <w:t>Proposal 1</w:t>
      </w:r>
      <w:r>
        <w:t xml:space="preserve">: </w:t>
      </w:r>
      <w:r w:rsidR="004D4538">
        <w:t xml:space="preserve">Any gap patterns that are made </w:t>
      </w:r>
      <w:r w:rsidR="00D34D7A">
        <w:t>mandatory in Rel-16, which were not mandatory in Rel-15, will only</w:t>
      </w:r>
      <w:r w:rsidR="00041059">
        <w:t xml:space="preserve"> be mandatory for NR measurements </w:t>
      </w:r>
    </w:p>
    <w:p w14:paraId="7DAABF22" w14:textId="1E0B56F7" w:rsidR="00BD207B" w:rsidRDefault="00BD207B" w:rsidP="00BD207B">
      <w:pPr>
        <w:pStyle w:val="Heading2"/>
      </w:pPr>
      <w:r>
        <w:t>Scenarios</w:t>
      </w:r>
    </w:p>
    <w:p w14:paraId="34140FCF" w14:textId="6C95ABAE" w:rsidR="00BD207B" w:rsidRPr="00BD207B" w:rsidRDefault="00BD207B" w:rsidP="00BD207B">
      <w:r>
        <w:t xml:space="preserve">For new mandatory gap patterns, we need there are 5 scenarios in terms of applicability: LTE SA, EN-DC, NE-DC, NR SA and NR-DC. These can be broadly divided into two categories: ones that have LTE active and one without.  </w:t>
      </w:r>
    </w:p>
    <w:p w14:paraId="1B4A599A" w14:textId="4E5753BF" w:rsidR="00BD207B" w:rsidRDefault="00BD207B" w:rsidP="00D05215">
      <w:r w:rsidRPr="00BD207B">
        <w:rPr>
          <w:b/>
          <w:bCs/>
        </w:rPr>
        <w:t>Observation 1</w:t>
      </w:r>
      <w:r>
        <w:t>: Two groups of scenarios to be considered. Group 1: LTE SA, EN-DC, NE-DC and Group 2: NR SA and NR-DC</w:t>
      </w:r>
    </w:p>
    <w:p w14:paraId="0078B8DD" w14:textId="6B7B89C7" w:rsidR="00BD207B" w:rsidRDefault="00BD207B" w:rsidP="00D05215">
      <w:r>
        <w:t xml:space="preserve">For the group 1 scenarios any new gap pattern that is being made mandatory will need to be supported by both </w:t>
      </w:r>
      <w:r w:rsidR="00E87EE6">
        <w:t xml:space="preserve">NR and LTE. Thus, for this group, only those gap patterns can be made mandatory that have no LTE impact. Also, for a device that is operating in group 1 scenario, it will most likely be measuring LTE cells too. Since those cells can only be measured using GP#0 and GP#1, it doesn’t make much sense to mandate shorter gaps for these. </w:t>
      </w:r>
      <w:r w:rsidR="007F34E0">
        <w:t>Again,</w:t>
      </w:r>
      <w:r w:rsidR="00E87EE6">
        <w:t xml:space="preserve"> this is unless the UE can measure LTE using shorter measurement gaps too.  </w:t>
      </w:r>
    </w:p>
    <w:p w14:paraId="05D00454" w14:textId="77777777" w:rsidR="007F34E0" w:rsidRDefault="007F34E0" w:rsidP="00D05215"/>
    <w:p w14:paraId="54C45C55" w14:textId="3A477EF9" w:rsidR="007F34E0" w:rsidRDefault="007F34E0" w:rsidP="00D05215">
      <w:r w:rsidRPr="007F34E0">
        <w:rPr>
          <w:b/>
          <w:bCs/>
        </w:rPr>
        <w:t>Observation 2</w:t>
      </w:r>
      <w:r>
        <w:t xml:space="preserve">: For group1 scenarios only those gap patterns to be made mandatory that LTE supports. </w:t>
      </w:r>
    </w:p>
    <w:p w14:paraId="4520CF24" w14:textId="1842C676" w:rsidR="00E87EE6" w:rsidRDefault="00E87EE6" w:rsidP="00D05215">
      <w:r>
        <w:lastRenderedPageBreak/>
        <w:t xml:space="preserve">For group 2, we can consider what new measurement gaps should be mandatory. Each of the gap pattern defined in Rel-15 is optimized for a deployment scenario. There is a benefit to mandating more gaps patterns. On the other hand, each new gap pattern that is made mandatory has </w:t>
      </w:r>
      <w:r w:rsidR="007F34E0">
        <w:t xml:space="preserve">significant impact on UE implementation complexity and testing. Thus, we need to strike a balance between what gaps are being mandatory. From our perspective, we see gain to be achieved from making 3ms gaps mandatory for FR1 and 3.5 ms gaps mandatory for FR2. </w:t>
      </w:r>
    </w:p>
    <w:p w14:paraId="7E46ABDB" w14:textId="69073A72" w:rsidR="007F34E0" w:rsidRDefault="007F34E0" w:rsidP="00D05215">
      <w:r w:rsidRPr="007F34E0">
        <w:rPr>
          <w:b/>
          <w:bCs/>
        </w:rPr>
        <w:t xml:space="preserve">Observation </w:t>
      </w:r>
      <w:r>
        <w:rPr>
          <w:b/>
          <w:bCs/>
        </w:rPr>
        <w:t>3</w:t>
      </w:r>
      <w:r>
        <w:t xml:space="preserve">: Benefit of making GP#2-3 mandatory for FR1 and GP#17-18 mandatory for FR2. </w:t>
      </w:r>
    </w:p>
    <w:p w14:paraId="063C17CC" w14:textId="77777777" w:rsidR="007F34E0" w:rsidRDefault="007F34E0" w:rsidP="00D05215">
      <w:r>
        <w:t xml:space="preserve">Note that for each of these gap patterns we still need to keep in mind the applicability from Rel-15. While all the above GP’s are mandatory for per-FR gap, only GP#2-3 are applicable a new mandatory gaps for per-UE gaps. </w:t>
      </w:r>
    </w:p>
    <w:p w14:paraId="50AFD2C2" w14:textId="49971BAA" w:rsidR="007F34E0" w:rsidRDefault="007F34E0" w:rsidP="00D05215">
      <w:r w:rsidRPr="007F34E0">
        <w:rPr>
          <w:b/>
          <w:bCs/>
        </w:rPr>
        <w:t>Observation 4</w:t>
      </w:r>
      <w:r>
        <w:t xml:space="preserve">: The Rel-15 applicability table (9.1.2-2 from 38.133) still applies to newly mandated gaps. </w:t>
      </w:r>
    </w:p>
    <w:p w14:paraId="0C0CFF0D" w14:textId="450D273E" w:rsidR="00BD207B" w:rsidRDefault="007F34E0" w:rsidP="00D05215">
      <w:r>
        <w:t xml:space="preserve"> A combination of the above observations gets us to the following proposal.</w:t>
      </w:r>
    </w:p>
    <w:p w14:paraId="7B8D9F45" w14:textId="032401D9" w:rsidR="007F34E0" w:rsidRDefault="007F34E0" w:rsidP="00D05215"/>
    <w:p w14:paraId="176784FA" w14:textId="084E682B" w:rsidR="007F34E0" w:rsidRDefault="007F34E0" w:rsidP="00D05215">
      <w:r w:rsidRPr="00F066DA">
        <w:rPr>
          <w:b/>
          <w:bCs/>
        </w:rPr>
        <w:t xml:space="preserve">Proposal </w:t>
      </w:r>
      <w:r w:rsidR="004E5363">
        <w:rPr>
          <w:b/>
          <w:bCs/>
        </w:rPr>
        <w:t>2</w:t>
      </w:r>
      <w:r>
        <w:t xml:space="preserve">: In Rel-16 the following gap patterns should be made mandatory for the specified scenario. </w:t>
      </w:r>
    </w:p>
    <w:p w14:paraId="4A070751" w14:textId="77777777" w:rsidR="007F34E0" w:rsidRDefault="007F34E0" w:rsidP="00D05215"/>
    <w:tbl>
      <w:tblPr>
        <w:tblStyle w:val="TableGrid"/>
        <w:tblW w:w="0" w:type="auto"/>
        <w:tblLook w:val="04A0" w:firstRow="1" w:lastRow="0" w:firstColumn="1" w:lastColumn="0" w:noHBand="0" w:noVBand="1"/>
      </w:tblPr>
      <w:tblGrid>
        <w:gridCol w:w="1569"/>
        <w:gridCol w:w="1570"/>
        <w:gridCol w:w="1569"/>
        <w:gridCol w:w="1571"/>
        <w:gridCol w:w="1446"/>
        <w:gridCol w:w="1447"/>
      </w:tblGrid>
      <w:tr w:rsidR="002B3DFF" w14:paraId="0E4A0AB6" w14:textId="77777777" w:rsidTr="002B3DFF">
        <w:trPr>
          <w:trHeight w:val="247"/>
        </w:trPr>
        <w:tc>
          <w:tcPr>
            <w:tcW w:w="6279" w:type="dxa"/>
            <w:gridSpan w:val="4"/>
          </w:tcPr>
          <w:p w14:paraId="4D1352A7" w14:textId="5ED2BDAF" w:rsidR="002B3DFF" w:rsidRDefault="002B3DFF" w:rsidP="002B3DFF">
            <w:pPr>
              <w:jc w:val="center"/>
            </w:pPr>
            <w:r>
              <w:t>LTE SA, EN-DC, NE-DC</w:t>
            </w:r>
          </w:p>
        </w:tc>
        <w:tc>
          <w:tcPr>
            <w:tcW w:w="2893" w:type="dxa"/>
            <w:gridSpan w:val="2"/>
            <w:vMerge w:val="restart"/>
          </w:tcPr>
          <w:p w14:paraId="0DE08301" w14:textId="3045C677" w:rsidR="002B3DFF" w:rsidRDefault="002B3DFF" w:rsidP="002B3DFF">
            <w:pPr>
              <w:jc w:val="center"/>
            </w:pPr>
            <w:r>
              <w:t>NR SA, NR-DC</w:t>
            </w:r>
          </w:p>
        </w:tc>
      </w:tr>
      <w:tr w:rsidR="002B3DFF" w14:paraId="143EF5C0" w14:textId="77777777" w:rsidTr="002B3DFF">
        <w:trPr>
          <w:trHeight w:val="481"/>
        </w:trPr>
        <w:tc>
          <w:tcPr>
            <w:tcW w:w="3139" w:type="dxa"/>
            <w:gridSpan w:val="2"/>
          </w:tcPr>
          <w:p w14:paraId="30B19337" w14:textId="36C1C7F3" w:rsidR="002B3DFF" w:rsidRDefault="002B3DFF" w:rsidP="002B3DFF">
            <w:pPr>
              <w:jc w:val="center"/>
            </w:pPr>
            <w:r>
              <w:t xml:space="preserve">UE supports </w:t>
            </w:r>
            <w:r w:rsidRPr="001711CB">
              <w:rPr>
                <w:i/>
              </w:rPr>
              <w:t>shortmeasurementgap</w:t>
            </w:r>
          </w:p>
        </w:tc>
        <w:tc>
          <w:tcPr>
            <w:tcW w:w="3139" w:type="dxa"/>
            <w:gridSpan w:val="2"/>
          </w:tcPr>
          <w:p w14:paraId="13AC218D" w14:textId="6201E28E" w:rsidR="002B3DFF" w:rsidRDefault="002B3DFF" w:rsidP="002B3DFF">
            <w:pPr>
              <w:jc w:val="center"/>
            </w:pPr>
            <w:r>
              <w:t xml:space="preserve">UE does not support </w:t>
            </w:r>
            <w:r w:rsidRPr="001711CB">
              <w:rPr>
                <w:i/>
              </w:rPr>
              <w:t>shortmeasurementgap</w:t>
            </w:r>
          </w:p>
        </w:tc>
        <w:tc>
          <w:tcPr>
            <w:tcW w:w="2893" w:type="dxa"/>
            <w:gridSpan w:val="2"/>
            <w:vMerge/>
          </w:tcPr>
          <w:p w14:paraId="24DC2A21" w14:textId="77777777" w:rsidR="002B3DFF" w:rsidRDefault="002B3DFF" w:rsidP="002B3DFF">
            <w:pPr>
              <w:jc w:val="center"/>
            </w:pPr>
          </w:p>
        </w:tc>
      </w:tr>
      <w:tr w:rsidR="002B3DFF" w14:paraId="77839421" w14:textId="77777777" w:rsidTr="002B3DFF">
        <w:trPr>
          <w:trHeight w:val="496"/>
        </w:trPr>
        <w:tc>
          <w:tcPr>
            <w:tcW w:w="1569" w:type="dxa"/>
          </w:tcPr>
          <w:p w14:paraId="4E0CA1FD" w14:textId="1B546680" w:rsidR="002B3DFF" w:rsidRDefault="002B3DFF" w:rsidP="002B3DFF">
            <w:pPr>
              <w:jc w:val="center"/>
            </w:pPr>
            <w:r>
              <w:t>Per-UE gap</w:t>
            </w:r>
          </w:p>
        </w:tc>
        <w:tc>
          <w:tcPr>
            <w:tcW w:w="1570" w:type="dxa"/>
          </w:tcPr>
          <w:p w14:paraId="55AF508F" w14:textId="70151D2B" w:rsidR="002B3DFF" w:rsidRDefault="002B3DFF" w:rsidP="002B3DFF">
            <w:pPr>
              <w:jc w:val="center"/>
            </w:pPr>
            <w:r>
              <w:t>Per-FR gap</w:t>
            </w:r>
          </w:p>
        </w:tc>
        <w:tc>
          <w:tcPr>
            <w:tcW w:w="1569" w:type="dxa"/>
          </w:tcPr>
          <w:p w14:paraId="41B25C22" w14:textId="781F597B" w:rsidR="002B3DFF" w:rsidRDefault="002B3DFF" w:rsidP="002B3DFF">
            <w:pPr>
              <w:jc w:val="center"/>
            </w:pPr>
            <w:r>
              <w:t>Per-UE Gap</w:t>
            </w:r>
          </w:p>
        </w:tc>
        <w:tc>
          <w:tcPr>
            <w:tcW w:w="1570" w:type="dxa"/>
          </w:tcPr>
          <w:p w14:paraId="72856A8D" w14:textId="123B4131" w:rsidR="002B3DFF" w:rsidRDefault="002B3DFF" w:rsidP="002B3DFF">
            <w:pPr>
              <w:jc w:val="center"/>
            </w:pPr>
            <w:r>
              <w:t>Per-FR Gap</w:t>
            </w:r>
          </w:p>
        </w:tc>
        <w:tc>
          <w:tcPr>
            <w:tcW w:w="1446" w:type="dxa"/>
          </w:tcPr>
          <w:p w14:paraId="03559A23" w14:textId="0CE45BEC" w:rsidR="002B3DFF" w:rsidRDefault="002B3DFF" w:rsidP="002B3DFF">
            <w:pPr>
              <w:jc w:val="center"/>
            </w:pPr>
            <w:r>
              <w:t>Per-UE gap</w:t>
            </w:r>
          </w:p>
        </w:tc>
        <w:tc>
          <w:tcPr>
            <w:tcW w:w="1447" w:type="dxa"/>
          </w:tcPr>
          <w:p w14:paraId="0606EE62" w14:textId="6DCD3BCB" w:rsidR="002B3DFF" w:rsidRDefault="002B3DFF" w:rsidP="002B3DFF">
            <w:pPr>
              <w:jc w:val="center"/>
            </w:pPr>
            <w:r>
              <w:t>Per-FR gap</w:t>
            </w:r>
          </w:p>
        </w:tc>
      </w:tr>
      <w:tr w:rsidR="002B3DFF" w14:paraId="5E3D38CE" w14:textId="77777777" w:rsidTr="002B3DFF">
        <w:trPr>
          <w:trHeight w:val="234"/>
        </w:trPr>
        <w:tc>
          <w:tcPr>
            <w:tcW w:w="1569" w:type="dxa"/>
          </w:tcPr>
          <w:p w14:paraId="01F2BDB9" w14:textId="15125FB4" w:rsidR="002B3DFF" w:rsidRDefault="002B3DFF" w:rsidP="002B3DFF">
            <w:pPr>
              <w:jc w:val="center"/>
            </w:pPr>
            <w:r>
              <w:t>GP#2-3</w:t>
            </w:r>
          </w:p>
        </w:tc>
        <w:tc>
          <w:tcPr>
            <w:tcW w:w="1570" w:type="dxa"/>
          </w:tcPr>
          <w:p w14:paraId="586515E8" w14:textId="789F74EB" w:rsidR="002B3DFF" w:rsidRDefault="002B3DFF" w:rsidP="002B3DFF">
            <w:pPr>
              <w:jc w:val="center"/>
            </w:pPr>
            <w:r>
              <w:t>GP#2-3</w:t>
            </w:r>
          </w:p>
        </w:tc>
        <w:tc>
          <w:tcPr>
            <w:tcW w:w="1569" w:type="dxa"/>
          </w:tcPr>
          <w:p w14:paraId="39064BDC" w14:textId="720330AA" w:rsidR="002B3DFF" w:rsidRDefault="002B3DFF" w:rsidP="002B3DFF">
            <w:pPr>
              <w:jc w:val="center"/>
            </w:pPr>
            <w:r>
              <w:t>None</w:t>
            </w:r>
          </w:p>
        </w:tc>
        <w:tc>
          <w:tcPr>
            <w:tcW w:w="1570" w:type="dxa"/>
          </w:tcPr>
          <w:p w14:paraId="41991AF4" w14:textId="58FF1D74" w:rsidR="002B3DFF" w:rsidRDefault="002B3DFF" w:rsidP="002B3DFF">
            <w:pPr>
              <w:jc w:val="center"/>
            </w:pPr>
            <w:r>
              <w:t>None</w:t>
            </w:r>
          </w:p>
        </w:tc>
        <w:tc>
          <w:tcPr>
            <w:tcW w:w="1446" w:type="dxa"/>
          </w:tcPr>
          <w:p w14:paraId="29ABC8ED" w14:textId="05E839E6" w:rsidR="002B3DFF" w:rsidRDefault="002B3DFF" w:rsidP="002B3DFF">
            <w:pPr>
              <w:jc w:val="center"/>
            </w:pPr>
            <w:r>
              <w:t>GP#2-3</w:t>
            </w:r>
          </w:p>
        </w:tc>
        <w:tc>
          <w:tcPr>
            <w:tcW w:w="1447" w:type="dxa"/>
          </w:tcPr>
          <w:p w14:paraId="3E47EE1C" w14:textId="599157D7" w:rsidR="002B3DFF" w:rsidRDefault="002B3DFF" w:rsidP="002B3DFF">
            <w:pPr>
              <w:jc w:val="center"/>
            </w:pPr>
            <w:r>
              <w:t>GP#2-3, GP#17-18</w:t>
            </w:r>
          </w:p>
        </w:tc>
      </w:tr>
    </w:tbl>
    <w:p w14:paraId="7DAEEC94" w14:textId="3AB6F5F5" w:rsidR="007F34E0" w:rsidRDefault="007F34E0" w:rsidP="00D05215"/>
    <w:p w14:paraId="18068C27" w14:textId="77777777" w:rsidR="007F34E0" w:rsidRDefault="007F34E0" w:rsidP="00D05215"/>
    <w:p w14:paraId="66FC741A" w14:textId="18A9744B" w:rsidR="008D7D1B" w:rsidRDefault="002B3DFF" w:rsidP="00DA5236">
      <w:r>
        <w:t>For any new mandatory gaps, t</w:t>
      </w:r>
      <w:r w:rsidR="00940D6A">
        <w:t xml:space="preserve">here </w:t>
      </w:r>
      <w:r>
        <w:t xml:space="preserve">will be a </w:t>
      </w:r>
      <w:r w:rsidR="00E3297D">
        <w:t>need for extensive testing</w:t>
      </w:r>
      <w:r w:rsidR="00AC5EE5">
        <w:t xml:space="preserve"> with TE and base-station vendors. </w:t>
      </w:r>
      <w:r>
        <w:t xml:space="preserve">Thus, until there is full IODT testing available UE will not be able to claim support for this feature. In order to make sure that support of this feature does not gate implementation of any other mandatory features, this should be made mandatory with capability signaling. </w:t>
      </w:r>
    </w:p>
    <w:p w14:paraId="58AE1CD0" w14:textId="4B7B4B7E" w:rsidR="00E3297D" w:rsidRDefault="00E3297D" w:rsidP="00DA5236">
      <w:r w:rsidRPr="00E3297D">
        <w:rPr>
          <w:b/>
        </w:rPr>
        <w:t xml:space="preserve">Proposal </w:t>
      </w:r>
      <w:r w:rsidR="004E5363">
        <w:rPr>
          <w:b/>
        </w:rPr>
        <w:t>3</w:t>
      </w:r>
      <w:r>
        <w:t xml:space="preserve">: Any new gap patterns to be made mandatory should be mandatory with capability signaling. </w:t>
      </w:r>
    </w:p>
    <w:p w14:paraId="371A30EA" w14:textId="77777777" w:rsidR="008D7D1B" w:rsidRDefault="008D7D1B" w:rsidP="00DA5236"/>
    <w:p w14:paraId="4BDBD680" w14:textId="62647339" w:rsidR="00432B37" w:rsidRDefault="00432B37" w:rsidP="00330D12">
      <w:pPr>
        <w:pStyle w:val="Heading1"/>
      </w:pPr>
      <w:r>
        <w:t xml:space="preserve">Conclusions </w:t>
      </w:r>
    </w:p>
    <w:p w14:paraId="79D004B0" w14:textId="77777777" w:rsidR="00786C32" w:rsidRDefault="00786C32" w:rsidP="00786C32">
      <w:r w:rsidRPr="002E4AA1">
        <w:rPr>
          <w:b/>
        </w:rPr>
        <w:t>Proposal 1</w:t>
      </w:r>
      <w:r>
        <w:t xml:space="preserve">: Any gap patterns that are made mandatory in Rel-16, which were not mandatory in Rel-15, will only be mandatory for NR measurements </w:t>
      </w:r>
    </w:p>
    <w:p w14:paraId="0AABA5EC" w14:textId="504DDE51" w:rsidR="002B3DFF" w:rsidRDefault="002B3DFF" w:rsidP="002B3DFF">
      <w:r w:rsidRPr="00BD207B">
        <w:rPr>
          <w:b/>
          <w:bCs/>
        </w:rPr>
        <w:t>Observation 1</w:t>
      </w:r>
      <w:r>
        <w:t>: Two groups of scenarios to be considered. Group 1: LTE SA, EN-DC, NE-DC and Group 2: NR SA and NR-DC</w:t>
      </w:r>
    </w:p>
    <w:p w14:paraId="574BDC25" w14:textId="77777777" w:rsidR="002B3DFF" w:rsidRDefault="002B3DFF" w:rsidP="002B3DFF">
      <w:r w:rsidRPr="007F34E0">
        <w:rPr>
          <w:b/>
          <w:bCs/>
        </w:rPr>
        <w:lastRenderedPageBreak/>
        <w:t>Observation 2</w:t>
      </w:r>
      <w:r>
        <w:t xml:space="preserve">: For group1 scenarios only those gap patterns to be made mandatory that LTE supports. </w:t>
      </w:r>
    </w:p>
    <w:p w14:paraId="6F155480" w14:textId="77777777" w:rsidR="004E5363" w:rsidRDefault="004E5363" w:rsidP="004E5363">
      <w:r w:rsidRPr="007F34E0">
        <w:rPr>
          <w:b/>
          <w:bCs/>
        </w:rPr>
        <w:t xml:space="preserve">Observation </w:t>
      </w:r>
      <w:r>
        <w:rPr>
          <w:b/>
          <w:bCs/>
        </w:rPr>
        <w:t>3</w:t>
      </w:r>
      <w:r>
        <w:t xml:space="preserve">: Benefit of making GP#2-3 mandatory for FR1 and GP#17-18 mandatory for FR2. </w:t>
      </w:r>
    </w:p>
    <w:p w14:paraId="5FBA31C6" w14:textId="77777777" w:rsidR="004E5363" w:rsidRDefault="004E5363" w:rsidP="004E5363">
      <w:r w:rsidRPr="007F34E0">
        <w:rPr>
          <w:b/>
          <w:bCs/>
        </w:rPr>
        <w:t>Observation 4</w:t>
      </w:r>
      <w:r>
        <w:t xml:space="preserve">: The Rel-15 applicability table (9.1.2-2 from 38.133) still applies to newly mandated gaps. </w:t>
      </w:r>
    </w:p>
    <w:p w14:paraId="650C0790" w14:textId="69BFB489" w:rsidR="004E5363" w:rsidRDefault="004E5363" w:rsidP="004E5363">
      <w:r w:rsidRPr="00F066DA">
        <w:rPr>
          <w:b/>
          <w:bCs/>
        </w:rPr>
        <w:t xml:space="preserve">Proposal </w:t>
      </w:r>
      <w:r>
        <w:rPr>
          <w:b/>
          <w:bCs/>
        </w:rPr>
        <w:t>2</w:t>
      </w:r>
      <w:r>
        <w:t xml:space="preserve">: In Rel-16 the following gap patterns should be made mandatory for the specified scenario. </w:t>
      </w:r>
    </w:p>
    <w:p w14:paraId="198AFC9A" w14:textId="77777777" w:rsidR="004E5363" w:rsidRDefault="004E5363" w:rsidP="004E5363"/>
    <w:tbl>
      <w:tblPr>
        <w:tblStyle w:val="TableGrid"/>
        <w:tblW w:w="0" w:type="auto"/>
        <w:tblLook w:val="04A0" w:firstRow="1" w:lastRow="0" w:firstColumn="1" w:lastColumn="0" w:noHBand="0" w:noVBand="1"/>
      </w:tblPr>
      <w:tblGrid>
        <w:gridCol w:w="1569"/>
        <w:gridCol w:w="1570"/>
        <w:gridCol w:w="1569"/>
        <w:gridCol w:w="1571"/>
        <w:gridCol w:w="1446"/>
        <w:gridCol w:w="1447"/>
      </w:tblGrid>
      <w:tr w:rsidR="004E5363" w14:paraId="2F65FAB1" w14:textId="77777777" w:rsidTr="00A44963">
        <w:trPr>
          <w:trHeight w:val="247"/>
        </w:trPr>
        <w:tc>
          <w:tcPr>
            <w:tcW w:w="6279" w:type="dxa"/>
            <w:gridSpan w:val="4"/>
          </w:tcPr>
          <w:p w14:paraId="040958E5" w14:textId="77777777" w:rsidR="004E5363" w:rsidRDefault="004E5363" w:rsidP="00A44963">
            <w:pPr>
              <w:jc w:val="center"/>
            </w:pPr>
            <w:r>
              <w:t>LTE SA, EN-DC, NE-DC</w:t>
            </w:r>
          </w:p>
        </w:tc>
        <w:tc>
          <w:tcPr>
            <w:tcW w:w="2893" w:type="dxa"/>
            <w:gridSpan w:val="2"/>
            <w:vMerge w:val="restart"/>
          </w:tcPr>
          <w:p w14:paraId="75A3FE76" w14:textId="77777777" w:rsidR="004E5363" w:rsidRDefault="004E5363" w:rsidP="00A44963">
            <w:pPr>
              <w:jc w:val="center"/>
            </w:pPr>
            <w:r>
              <w:t>NR SA, NR-DC</w:t>
            </w:r>
          </w:p>
        </w:tc>
      </w:tr>
      <w:tr w:rsidR="004E5363" w14:paraId="2B291937" w14:textId="77777777" w:rsidTr="00A44963">
        <w:trPr>
          <w:trHeight w:val="481"/>
        </w:trPr>
        <w:tc>
          <w:tcPr>
            <w:tcW w:w="3139" w:type="dxa"/>
            <w:gridSpan w:val="2"/>
          </w:tcPr>
          <w:p w14:paraId="764F1BA9" w14:textId="77777777" w:rsidR="004E5363" w:rsidRDefault="004E5363" w:rsidP="00A44963">
            <w:pPr>
              <w:jc w:val="center"/>
            </w:pPr>
            <w:r>
              <w:t xml:space="preserve">UE supports </w:t>
            </w:r>
            <w:r w:rsidRPr="001711CB">
              <w:rPr>
                <w:i/>
              </w:rPr>
              <w:t>shortmeasurementgap</w:t>
            </w:r>
          </w:p>
        </w:tc>
        <w:tc>
          <w:tcPr>
            <w:tcW w:w="3139" w:type="dxa"/>
            <w:gridSpan w:val="2"/>
          </w:tcPr>
          <w:p w14:paraId="53E5078C" w14:textId="77777777" w:rsidR="004E5363" w:rsidRDefault="004E5363" w:rsidP="00A44963">
            <w:pPr>
              <w:jc w:val="center"/>
            </w:pPr>
            <w:r>
              <w:t xml:space="preserve">UE does not support </w:t>
            </w:r>
            <w:r w:rsidRPr="001711CB">
              <w:rPr>
                <w:i/>
              </w:rPr>
              <w:t>shortmeasurementgap</w:t>
            </w:r>
          </w:p>
        </w:tc>
        <w:tc>
          <w:tcPr>
            <w:tcW w:w="2893" w:type="dxa"/>
            <w:gridSpan w:val="2"/>
            <w:vMerge/>
          </w:tcPr>
          <w:p w14:paraId="145F6818" w14:textId="77777777" w:rsidR="004E5363" w:rsidRDefault="004E5363" w:rsidP="00A44963">
            <w:pPr>
              <w:jc w:val="center"/>
            </w:pPr>
          </w:p>
        </w:tc>
      </w:tr>
      <w:tr w:rsidR="004E5363" w14:paraId="54F6954C" w14:textId="77777777" w:rsidTr="00A44963">
        <w:trPr>
          <w:trHeight w:val="496"/>
        </w:trPr>
        <w:tc>
          <w:tcPr>
            <w:tcW w:w="1569" w:type="dxa"/>
          </w:tcPr>
          <w:p w14:paraId="62B92B2B" w14:textId="77777777" w:rsidR="004E5363" w:rsidRDefault="004E5363" w:rsidP="00A44963">
            <w:pPr>
              <w:jc w:val="center"/>
            </w:pPr>
            <w:r>
              <w:t>Per-UE gap</w:t>
            </w:r>
          </w:p>
        </w:tc>
        <w:tc>
          <w:tcPr>
            <w:tcW w:w="1570" w:type="dxa"/>
          </w:tcPr>
          <w:p w14:paraId="74BA08CE" w14:textId="77777777" w:rsidR="004E5363" w:rsidRDefault="004E5363" w:rsidP="00A44963">
            <w:pPr>
              <w:jc w:val="center"/>
            </w:pPr>
            <w:r>
              <w:t>Per-FR gap</w:t>
            </w:r>
          </w:p>
        </w:tc>
        <w:tc>
          <w:tcPr>
            <w:tcW w:w="1569" w:type="dxa"/>
          </w:tcPr>
          <w:p w14:paraId="1FF0AE2A" w14:textId="77777777" w:rsidR="004E5363" w:rsidRDefault="004E5363" w:rsidP="00A44963">
            <w:pPr>
              <w:jc w:val="center"/>
            </w:pPr>
            <w:r>
              <w:t>Per-UE Gap</w:t>
            </w:r>
          </w:p>
        </w:tc>
        <w:tc>
          <w:tcPr>
            <w:tcW w:w="1570" w:type="dxa"/>
          </w:tcPr>
          <w:p w14:paraId="6F564750" w14:textId="77777777" w:rsidR="004E5363" w:rsidRDefault="004E5363" w:rsidP="00A44963">
            <w:pPr>
              <w:jc w:val="center"/>
            </w:pPr>
            <w:r>
              <w:t>Per-FR Gap</w:t>
            </w:r>
          </w:p>
        </w:tc>
        <w:tc>
          <w:tcPr>
            <w:tcW w:w="1446" w:type="dxa"/>
          </w:tcPr>
          <w:p w14:paraId="5BFAC1E5" w14:textId="77777777" w:rsidR="004E5363" w:rsidRDefault="004E5363" w:rsidP="00A44963">
            <w:pPr>
              <w:jc w:val="center"/>
            </w:pPr>
            <w:r>
              <w:t>Per-UE gap</w:t>
            </w:r>
          </w:p>
        </w:tc>
        <w:tc>
          <w:tcPr>
            <w:tcW w:w="1447" w:type="dxa"/>
          </w:tcPr>
          <w:p w14:paraId="3DED5585" w14:textId="77777777" w:rsidR="004E5363" w:rsidRDefault="004E5363" w:rsidP="00A44963">
            <w:pPr>
              <w:jc w:val="center"/>
            </w:pPr>
            <w:r>
              <w:t>Per-FR gap</w:t>
            </w:r>
          </w:p>
        </w:tc>
      </w:tr>
      <w:tr w:rsidR="004E5363" w14:paraId="3C71B545" w14:textId="77777777" w:rsidTr="00A44963">
        <w:trPr>
          <w:trHeight w:val="234"/>
        </w:trPr>
        <w:tc>
          <w:tcPr>
            <w:tcW w:w="1569" w:type="dxa"/>
          </w:tcPr>
          <w:p w14:paraId="12CA777A" w14:textId="77777777" w:rsidR="004E5363" w:rsidRDefault="004E5363" w:rsidP="00A44963">
            <w:pPr>
              <w:jc w:val="center"/>
            </w:pPr>
            <w:r>
              <w:t>GP#2-3</w:t>
            </w:r>
          </w:p>
        </w:tc>
        <w:tc>
          <w:tcPr>
            <w:tcW w:w="1570" w:type="dxa"/>
          </w:tcPr>
          <w:p w14:paraId="7C564840" w14:textId="77777777" w:rsidR="004E5363" w:rsidRDefault="004E5363" w:rsidP="00A44963">
            <w:pPr>
              <w:jc w:val="center"/>
            </w:pPr>
            <w:r>
              <w:t>GP#2-3</w:t>
            </w:r>
          </w:p>
        </w:tc>
        <w:tc>
          <w:tcPr>
            <w:tcW w:w="1569" w:type="dxa"/>
          </w:tcPr>
          <w:p w14:paraId="151EC3A7" w14:textId="77777777" w:rsidR="004E5363" w:rsidRDefault="004E5363" w:rsidP="00A44963">
            <w:pPr>
              <w:jc w:val="center"/>
            </w:pPr>
            <w:r>
              <w:t>None</w:t>
            </w:r>
          </w:p>
        </w:tc>
        <w:tc>
          <w:tcPr>
            <w:tcW w:w="1570" w:type="dxa"/>
          </w:tcPr>
          <w:p w14:paraId="58448FA5" w14:textId="77777777" w:rsidR="004E5363" w:rsidRDefault="004E5363" w:rsidP="00A44963">
            <w:pPr>
              <w:jc w:val="center"/>
            </w:pPr>
            <w:r>
              <w:t>None</w:t>
            </w:r>
          </w:p>
        </w:tc>
        <w:tc>
          <w:tcPr>
            <w:tcW w:w="1446" w:type="dxa"/>
          </w:tcPr>
          <w:p w14:paraId="59478CB3" w14:textId="77777777" w:rsidR="004E5363" w:rsidRDefault="004E5363" w:rsidP="00A44963">
            <w:pPr>
              <w:jc w:val="center"/>
            </w:pPr>
            <w:r>
              <w:t>GP#2-3</w:t>
            </w:r>
          </w:p>
        </w:tc>
        <w:tc>
          <w:tcPr>
            <w:tcW w:w="1447" w:type="dxa"/>
          </w:tcPr>
          <w:p w14:paraId="28ED8E1D" w14:textId="77777777" w:rsidR="004E5363" w:rsidRDefault="004E5363" w:rsidP="00A44963">
            <w:pPr>
              <w:jc w:val="center"/>
            </w:pPr>
            <w:r>
              <w:t>GP#2-3, GP#17-18</w:t>
            </w:r>
          </w:p>
        </w:tc>
      </w:tr>
    </w:tbl>
    <w:p w14:paraId="5656B433" w14:textId="77777777" w:rsidR="002B3DFF" w:rsidRDefault="002B3DFF" w:rsidP="002B3DFF"/>
    <w:p w14:paraId="69D67F5E" w14:textId="46F2F942" w:rsidR="006B696C" w:rsidRDefault="006B696C" w:rsidP="006B696C">
      <w:r w:rsidRPr="00E3297D">
        <w:rPr>
          <w:b/>
        </w:rPr>
        <w:t xml:space="preserve">Proposal </w:t>
      </w:r>
      <w:r w:rsidR="004E5363">
        <w:rPr>
          <w:b/>
        </w:rPr>
        <w:t>3</w:t>
      </w:r>
      <w:r>
        <w:t xml:space="preserve">: Any new gap patterns to be made mandatory should be mandatory with capability signaling. </w:t>
      </w:r>
    </w:p>
    <w:p w14:paraId="25696B76" w14:textId="77777777" w:rsidR="002432B0" w:rsidRPr="002432B0" w:rsidRDefault="002432B0" w:rsidP="002432B0"/>
    <w:p w14:paraId="7C155C6D" w14:textId="0549C52A" w:rsidR="00670B43" w:rsidRPr="00670B43" w:rsidRDefault="00670B43" w:rsidP="00670B43"/>
    <w:sectPr w:rsidR="00670B43" w:rsidRPr="00670B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12F88" w14:textId="77777777" w:rsidR="005451BB" w:rsidRDefault="005451BB" w:rsidP="007D7454">
      <w:pPr>
        <w:spacing w:after="0" w:line="240" w:lineRule="auto"/>
      </w:pPr>
      <w:r>
        <w:separator/>
      </w:r>
    </w:p>
  </w:endnote>
  <w:endnote w:type="continuationSeparator" w:id="0">
    <w:p w14:paraId="4934279E" w14:textId="77777777" w:rsidR="005451BB" w:rsidRDefault="005451BB"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979E1" w14:textId="77777777" w:rsidR="005451BB" w:rsidRDefault="005451BB" w:rsidP="007D7454">
      <w:pPr>
        <w:spacing w:after="0" w:line="240" w:lineRule="auto"/>
      </w:pPr>
      <w:r>
        <w:separator/>
      </w:r>
    </w:p>
  </w:footnote>
  <w:footnote w:type="continuationSeparator" w:id="0">
    <w:p w14:paraId="4B83CB7F" w14:textId="77777777" w:rsidR="005451BB" w:rsidRDefault="005451BB"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A78FD"/>
    <w:multiLevelType w:val="hybridMultilevel"/>
    <w:tmpl w:val="B3321110"/>
    <w:lvl w:ilvl="0" w:tplc="CFD47D7E">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9430A8"/>
    <w:multiLevelType w:val="hybridMultilevel"/>
    <w:tmpl w:val="ACAAABCA"/>
    <w:lvl w:ilvl="0" w:tplc="F880035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0"/>
  </w:num>
  <w:num w:numId="5">
    <w:abstractNumId w:val="4"/>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41059"/>
    <w:rsid w:val="00047C63"/>
    <w:rsid w:val="00050D7B"/>
    <w:rsid w:val="0006169C"/>
    <w:rsid w:val="0007300B"/>
    <w:rsid w:val="000776E5"/>
    <w:rsid w:val="00081DCD"/>
    <w:rsid w:val="00082D50"/>
    <w:rsid w:val="00097740"/>
    <w:rsid w:val="000B7380"/>
    <w:rsid w:val="000F039A"/>
    <w:rsid w:val="00105578"/>
    <w:rsid w:val="001106EF"/>
    <w:rsid w:val="001407C5"/>
    <w:rsid w:val="001711CB"/>
    <w:rsid w:val="0018076B"/>
    <w:rsid w:val="001A3B73"/>
    <w:rsid w:val="001A3EEE"/>
    <w:rsid w:val="001B7175"/>
    <w:rsid w:val="001C5F5F"/>
    <w:rsid w:val="001F2D58"/>
    <w:rsid w:val="001F2E62"/>
    <w:rsid w:val="001F2E67"/>
    <w:rsid w:val="002058CB"/>
    <w:rsid w:val="00205C82"/>
    <w:rsid w:val="00216926"/>
    <w:rsid w:val="00222850"/>
    <w:rsid w:val="00233796"/>
    <w:rsid w:val="00237398"/>
    <w:rsid w:val="002432B0"/>
    <w:rsid w:val="00261E1A"/>
    <w:rsid w:val="00280853"/>
    <w:rsid w:val="0029290F"/>
    <w:rsid w:val="002B3DFF"/>
    <w:rsid w:val="002C1542"/>
    <w:rsid w:val="002E22BC"/>
    <w:rsid w:val="002E4AA1"/>
    <w:rsid w:val="002E5195"/>
    <w:rsid w:val="002E6DB7"/>
    <w:rsid w:val="002F00BB"/>
    <w:rsid w:val="002F62B9"/>
    <w:rsid w:val="003014F5"/>
    <w:rsid w:val="00330D12"/>
    <w:rsid w:val="00352601"/>
    <w:rsid w:val="00355170"/>
    <w:rsid w:val="003669ED"/>
    <w:rsid w:val="00395F07"/>
    <w:rsid w:val="003B5F82"/>
    <w:rsid w:val="003D22BB"/>
    <w:rsid w:val="003E6A62"/>
    <w:rsid w:val="00403E25"/>
    <w:rsid w:val="00404F22"/>
    <w:rsid w:val="00410C47"/>
    <w:rsid w:val="004153D3"/>
    <w:rsid w:val="004222C5"/>
    <w:rsid w:val="00432B37"/>
    <w:rsid w:val="0046660A"/>
    <w:rsid w:val="00475BBB"/>
    <w:rsid w:val="004918AC"/>
    <w:rsid w:val="004939A4"/>
    <w:rsid w:val="004B2231"/>
    <w:rsid w:val="004B39FE"/>
    <w:rsid w:val="004B6EC0"/>
    <w:rsid w:val="004C2D0D"/>
    <w:rsid w:val="004D0C87"/>
    <w:rsid w:val="004D4538"/>
    <w:rsid w:val="004D4B53"/>
    <w:rsid w:val="004E5225"/>
    <w:rsid w:val="004E5363"/>
    <w:rsid w:val="00505076"/>
    <w:rsid w:val="005451BB"/>
    <w:rsid w:val="0055047B"/>
    <w:rsid w:val="005A0C36"/>
    <w:rsid w:val="005C6FA7"/>
    <w:rsid w:val="005D7A43"/>
    <w:rsid w:val="005F2189"/>
    <w:rsid w:val="00616983"/>
    <w:rsid w:val="0062171B"/>
    <w:rsid w:val="00635433"/>
    <w:rsid w:val="00637BD0"/>
    <w:rsid w:val="00665D90"/>
    <w:rsid w:val="00665F19"/>
    <w:rsid w:val="00670B43"/>
    <w:rsid w:val="00671630"/>
    <w:rsid w:val="006750D6"/>
    <w:rsid w:val="00690618"/>
    <w:rsid w:val="00696462"/>
    <w:rsid w:val="006A1572"/>
    <w:rsid w:val="006A2C60"/>
    <w:rsid w:val="006A5831"/>
    <w:rsid w:val="006B696C"/>
    <w:rsid w:val="006D5D9B"/>
    <w:rsid w:val="006F22FB"/>
    <w:rsid w:val="00720D21"/>
    <w:rsid w:val="007256F7"/>
    <w:rsid w:val="00736DB1"/>
    <w:rsid w:val="0074659A"/>
    <w:rsid w:val="007507FC"/>
    <w:rsid w:val="0075422D"/>
    <w:rsid w:val="007544BA"/>
    <w:rsid w:val="00754A14"/>
    <w:rsid w:val="00757848"/>
    <w:rsid w:val="00767CCD"/>
    <w:rsid w:val="00786C32"/>
    <w:rsid w:val="00793A92"/>
    <w:rsid w:val="00793DF7"/>
    <w:rsid w:val="007A658B"/>
    <w:rsid w:val="007D7454"/>
    <w:rsid w:val="007F00BA"/>
    <w:rsid w:val="007F34E0"/>
    <w:rsid w:val="00813799"/>
    <w:rsid w:val="00846BDC"/>
    <w:rsid w:val="008611F4"/>
    <w:rsid w:val="00870DEC"/>
    <w:rsid w:val="008933D5"/>
    <w:rsid w:val="008B398A"/>
    <w:rsid w:val="008D19FA"/>
    <w:rsid w:val="008D7D1B"/>
    <w:rsid w:val="008E22CC"/>
    <w:rsid w:val="008E313D"/>
    <w:rsid w:val="00905DE8"/>
    <w:rsid w:val="00907700"/>
    <w:rsid w:val="00927785"/>
    <w:rsid w:val="00940D6A"/>
    <w:rsid w:val="00943B69"/>
    <w:rsid w:val="0094757F"/>
    <w:rsid w:val="009A7DBA"/>
    <w:rsid w:val="009D42F3"/>
    <w:rsid w:val="009E177B"/>
    <w:rsid w:val="009F2370"/>
    <w:rsid w:val="009F54CD"/>
    <w:rsid w:val="00A04B4A"/>
    <w:rsid w:val="00A1320C"/>
    <w:rsid w:val="00A31D8C"/>
    <w:rsid w:val="00A61604"/>
    <w:rsid w:val="00A71475"/>
    <w:rsid w:val="00A729FC"/>
    <w:rsid w:val="00A73B1E"/>
    <w:rsid w:val="00AA7CC7"/>
    <w:rsid w:val="00AC2AEC"/>
    <w:rsid w:val="00AC5EE5"/>
    <w:rsid w:val="00AD7CCD"/>
    <w:rsid w:val="00AE2B99"/>
    <w:rsid w:val="00AE79C1"/>
    <w:rsid w:val="00AF61A8"/>
    <w:rsid w:val="00B00809"/>
    <w:rsid w:val="00B01AD7"/>
    <w:rsid w:val="00B06E8A"/>
    <w:rsid w:val="00B1260D"/>
    <w:rsid w:val="00B20A3C"/>
    <w:rsid w:val="00B7796B"/>
    <w:rsid w:val="00BA0ABC"/>
    <w:rsid w:val="00BA272C"/>
    <w:rsid w:val="00BB3BA5"/>
    <w:rsid w:val="00BC2B29"/>
    <w:rsid w:val="00BD207B"/>
    <w:rsid w:val="00BD5FFC"/>
    <w:rsid w:val="00BE11EE"/>
    <w:rsid w:val="00BF73C3"/>
    <w:rsid w:val="00BF7DCA"/>
    <w:rsid w:val="00C07825"/>
    <w:rsid w:val="00C07FC5"/>
    <w:rsid w:val="00C66FA3"/>
    <w:rsid w:val="00C9189C"/>
    <w:rsid w:val="00CA61B1"/>
    <w:rsid w:val="00CC1C4C"/>
    <w:rsid w:val="00CC383F"/>
    <w:rsid w:val="00CC3F86"/>
    <w:rsid w:val="00D05215"/>
    <w:rsid w:val="00D141CC"/>
    <w:rsid w:val="00D17969"/>
    <w:rsid w:val="00D34D7A"/>
    <w:rsid w:val="00D47660"/>
    <w:rsid w:val="00D859F1"/>
    <w:rsid w:val="00D85AAD"/>
    <w:rsid w:val="00D85FBE"/>
    <w:rsid w:val="00D93F66"/>
    <w:rsid w:val="00DA4785"/>
    <w:rsid w:val="00DA5236"/>
    <w:rsid w:val="00DD323B"/>
    <w:rsid w:val="00DE10CA"/>
    <w:rsid w:val="00DE5149"/>
    <w:rsid w:val="00DF3726"/>
    <w:rsid w:val="00E15B21"/>
    <w:rsid w:val="00E16498"/>
    <w:rsid w:val="00E27341"/>
    <w:rsid w:val="00E3102C"/>
    <w:rsid w:val="00E3297D"/>
    <w:rsid w:val="00E80553"/>
    <w:rsid w:val="00E806F2"/>
    <w:rsid w:val="00E833B6"/>
    <w:rsid w:val="00E87EE6"/>
    <w:rsid w:val="00E95F42"/>
    <w:rsid w:val="00EA70A3"/>
    <w:rsid w:val="00EB5E71"/>
    <w:rsid w:val="00EB76EB"/>
    <w:rsid w:val="00EC65B6"/>
    <w:rsid w:val="00ED2293"/>
    <w:rsid w:val="00EE05FF"/>
    <w:rsid w:val="00EF7F9C"/>
    <w:rsid w:val="00F066DA"/>
    <w:rsid w:val="00F5668D"/>
    <w:rsid w:val="00F61425"/>
    <w:rsid w:val="00F74CA6"/>
    <w:rsid w:val="00F74D8B"/>
    <w:rsid w:val="00F868D2"/>
    <w:rsid w:val="00FB0B41"/>
    <w:rsid w:val="00FD11A8"/>
    <w:rsid w:val="00FD2741"/>
    <w:rsid w:val="00FD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 w:type="table" w:styleId="TableGrid">
    <w:name w:val="Table Grid"/>
    <w:basedOn w:val="TableNormal"/>
    <w:uiPriority w:val="39"/>
    <w:rsid w:val="00F06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109983">
      <w:bodyDiv w:val="1"/>
      <w:marLeft w:val="0"/>
      <w:marRight w:val="0"/>
      <w:marTop w:val="0"/>
      <w:marBottom w:val="0"/>
      <w:divBdr>
        <w:top w:val="none" w:sz="0" w:space="0" w:color="auto"/>
        <w:left w:val="none" w:sz="0" w:space="0" w:color="auto"/>
        <w:bottom w:val="none" w:sz="0" w:space="0" w:color="auto"/>
        <w:right w:val="none" w:sz="0" w:space="0" w:color="auto"/>
      </w:divBdr>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2.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91</cp:revision>
  <dcterms:created xsi:type="dcterms:W3CDTF">2019-11-07T18:34:00Z</dcterms:created>
  <dcterms:modified xsi:type="dcterms:W3CDTF">2020-04-10T20:55:00Z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